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cc0000"/>
          <w:sz w:val="48"/>
          <w:rtl w:val="0"/>
        </w:rPr>
        <w:t xml:space="preserve">Столпы Веры</w:t>
      </w:r>
    </w:p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Пророк Мухаммад (мир ему и благословение Аллаха) оставил после себя бесценное наследие: Божьи откровения зафиксированные в Коране, и Сунну - его поступки, история его жизни и высказывания по тем или иным проблемам, которые он сделал на протяжении своей 23 - летней миссии. Благодаря этим источникам мусульмане смогли создать величайшую мировую систему ценностей, которая охватила все сферы человеческой и социальной сферы. Одной из самых сложных задач, которые предстояло решить следующим поколениям, после пророчества Мухаммада - это создание теоретической научной базы Ислама и систематизация положений, выраженных в смыслах Божественных откровений, в стройное и последовательное вероучение. На протяжении почти 300-400 лет после пророка в этом направлении велись серьёзные работы и Исламские учёные с честью справились с этой сложнейшей задачей. На основании Коранических аятов и хадисов пророка ими были сформулированы теоретические и практические основы Исламской религии, которые остались неизменными до сегодняшнего дня..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Под обобщающим названием "Столпы веры" понимаются идеологические основы религии Аллаха. Сам пророк касался этого вопроса в нескольких хадисах. Но по мнению всех исламских учёных, наиболее всеохватным и конкретным по данному пункту является хадис приведённый у Бухари и Муслима, где упоминается о том, что на вопрос ангела Джабраила (Гавриила) [мир ему] о сути веры Мухаммад ответил следующим образом: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"Суть веры в том, чтобы ты верил в Бога, Его ангелов, в его писания, его посланников, и в последний день и чтобы верил ты в предопределение, как хорошее, так и дурное".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Таким образом, Исламская наука вывела 6 основопологающих мировоззренческих постулата, ставших своеобразным мусульманским "кредо":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1. Вера в АЛЛАХА - Бога-Творца всего сущего. 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Включает в себя ряд положений, главным из которых является единобожие (Товхид).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2. Вера в Ангелов. 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Ангелы - это сотворённые Аллахом из света существа, лишённые свободы воли. Они являются исполнителями воли Божьей.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3. Вера в Священные Писания ниспосланные Аллахом посланникам. 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Под этим понимаются все Божественные откровения, которые ниспосылались Его посланникам в различные периоды истории человечества. Мусульмане признают истинные тексты древшейших свитков Ибрахима (Авраама), Тауры (Торы), Забура (Псалмов) Инджила (Евангелия) и Корана. Однако предыдущие писания отменены Кораном.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4. Вера в пророков (посланников) Божьих.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Кораном и Сунной предписывается принять истинными всех посланников Аллаха. Посланников, согласно другому хадису Мухаммада (да благославит его Аллах и да приветствует), было 124000, которые проповедывали всем народам и племенам. В их числе были и великие пророки Дауд (Давид) Муса (Моисей), Иса (Иисус), Мухаммад и т. д.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5. Вера в Судный день. 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Включает в себя веру во вселенскую катастрофу, грядущее воскресение, Божий суд и наличие ада и рая.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6. Вера в предопределение. 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Необходимо верить в определение Аллахом судьбы всего сущего.</w:t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0" w:before="200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spacing w:lineRule="auto" w:after="0" w:before="200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spacing w:lineRule="auto" w:after="0" w:before="0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spacing w:lineRule="auto" w:after="200" w:before="0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Столпы Веры.docx</dc:title>
</cp:coreProperties>
</file>