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Нет пути лучше веры и праведных дел</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 верующих, которые творили благое, будь то мужчины или женщины, Мы непременно приведём к жизни прекрасной и воздадим им наградой более хорошей, чем то, что они делали.) “Пчёлы”, 97</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Прекрасная жизнь в мире этом и хорошее воздаяние в мире вечном являются результатом того, что вера и праведные дела верующих исправляют сердца, нравственные качества и взаимоотношения с людьми, а это приводит в порядок как мирские дела, так и то, что имеет отношение к миру вечному.</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Благодаря этому верующие с радостью воспринимают всё то, что им предопределено пережить. Если с ними случается то, что им нравится, они благодарят Аллаха, за что получат награду, которая превысит оказанные им благодеяния. Если же это им не нравится, то они проявляют терпение, за что помимо отдохновения разума и душевного спокойствия получат ещё и награду.</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Об этом пророк, да благословит его Аллах и приветствует, сказал так:</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«Удивительно положение верующего! Поистине, всё в его положении является благом, ибо если происходит с ним нечто радостное, он благодарит (Аллаха), и это становится благом для него, если же постигает его какое-нибудь горе, он проявляет терпение, и это тоже оборачивается для него благом, и недоступно это никому, кроме верующего». Муслим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 ввиду того, что верующий благодарит и проявляет терпение, его охватывает радость, а заботы, печали и недовольство покидают его. Что же касается неверного, то, получая то, что ему нравится, он не благодарит и проявляет высокомерие и несправедливость, ему незнакомо чувство удовлетворения и покоя и он постоянно боится утраты того, что ему нравится. А если говорить о том, что ему неприятно, то он встречает это с волнением, тревогой и страхом, вследствие чего страдает от нервных и душевных болезней, ведь ему недостаёт терпения, которое могло бы успокоить его и принести ему облегчение.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Аллах Всевышний сказал:</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(Если вы будете испытывать страдания, то и они будут страдать подобно вам, однако вы надеетесь (получить) от Аллаха то, на что они не надеются.) “Женщины”, 104</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Аллах Всевышний также сказал:</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 проявляйте терпение: поистине, Аллах — с терпеливыми.) “Добыча”, 46</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Нет пути лучше веры и праведных дел.docx</dc:title>
</cp:coreProperties>
</file>